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67" w:rsidRDefault="00651D67" w:rsidP="00651D67">
      <w:pPr>
        <w:pStyle w:val="a5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ДЕПАРТАМЕНТ образования ГОРОДА МОСКВЫ</w:t>
      </w:r>
    </w:p>
    <w:p w:rsidR="00651D67" w:rsidRDefault="00651D67" w:rsidP="00651D67">
      <w:pPr>
        <w:pStyle w:val="a5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Государственное бюджетное образовательное учреждение среднего профессионального образования города Москвы</w:t>
      </w:r>
    </w:p>
    <w:p w:rsidR="00651D67" w:rsidRDefault="00651D67" w:rsidP="00651D6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ПОЛИТЕХНИЧЕСКИЙ ТЕХНИКУМ № 2</w:t>
      </w:r>
    </w:p>
    <w:p w:rsidR="00651D67" w:rsidRDefault="00651D67" w:rsidP="00651D67">
      <w:pPr>
        <w:rPr>
          <w:szCs w:val="28"/>
        </w:rPr>
      </w:pPr>
    </w:p>
    <w:p w:rsidR="00651D67" w:rsidRDefault="00651D67" w:rsidP="00651D67">
      <w:pPr>
        <w:rPr>
          <w:szCs w:val="28"/>
        </w:rPr>
      </w:pPr>
    </w:p>
    <w:p w:rsidR="00651D67" w:rsidRDefault="00651D67" w:rsidP="00651D67">
      <w:pPr>
        <w:rPr>
          <w:szCs w:val="28"/>
        </w:rPr>
      </w:pPr>
    </w:p>
    <w:p w:rsidR="00651D67" w:rsidRDefault="00651D67" w:rsidP="00651D67">
      <w:pPr>
        <w:rPr>
          <w:szCs w:val="28"/>
        </w:rPr>
      </w:pPr>
    </w:p>
    <w:p w:rsidR="00651D67" w:rsidRDefault="00651D67" w:rsidP="00651D67">
      <w:pPr>
        <w:rPr>
          <w:szCs w:val="28"/>
        </w:rPr>
      </w:pPr>
    </w:p>
    <w:p w:rsidR="00651D67" w:rsidRDefault="00651D67" w:rsidP="00651D67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Экзаменационные билеты</w:t>
      </w:r>
    </w:p>
    <w:p w:rsidR="00651D67" w:rsidRDefault="002E4B22" w:rsidP="00651D67">
      <w:pPr>
        <w:jc w:val="center"/>
        <w:rPr>
          <w:b/>
          <w:szCs w:val="28"/>
        </w:rPr>
      </w:pPr>
      <w:r>
        <w:rPr>
          <w:b/>
          <w:szCs w:val="28"/>
        </w:rPr>
        <w:t>по ОП.01.</w:t>
      </w:r>
      <w:r w:rsidR="00651D67">
        <w:rPr>
          <w:b/>
          <w:szCs w:val="28"/>
        </w:rPr>
        <w:t xml:space="preserve"> Основы </w:t>
      </w:r>
      <w:r>
        <w:rPr>
          <w:b/>
          <w:szCs w:val="28"/>
        </w:rPr>
        <w:t>теории информации</w:t>
      </w:r>
    </w:p>
    <w:p w:rsidR="00651D67" w:rsidRDefault="00651D67" w:rsidP="00651D67">
      <w:pPr>
        <w:jc w:val="center"/>
        <w:rPr>
          <w:b/>
          <w:szCs w:val="28"/>
        </w:rPr>
      </w:pPr>
      <w:r>
        <w:rPr>
          <w:b/>
          <w:szCs w:val="28"/>
        </w:rPr>
        <w:t>Специальность: 230111 Компьютерные сети</w:t>
      </w: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2E4B22" w:rsidRDefault="002E4B22" w:rsidP="00651D67">
      <w:pPr>
        <w:jc w:val="center"/>
        <w:rPr>
          <w:b/>
          <w:szCs w:val="28"/>
        </w:rPr>
      </w:pPr>
    </w:p>
    <w:p w:rsidR="002E4B22" w:rsidRDefault="002E4B22" w:rsidP="00651D67">
      <w:pPr>
        <w:jc w:val="center"/>
        <w:rPr>
          <w:b/>
          <w:szCs w:val="28"/>
        </w:rPr>
      </w:pPr>
    </w:p>
    <w:p w:rsidR="002E4B22" w:rsidRDefault="002E4B22" w:rsidP="00651D67">
      <w:pPr>
        <w:jc w:val="center"/>
        <w:rPr>
          <w:b/>
          <w:szCs w:val="28"/>
        </w:rPr>
      </w:pPr>
    </w:p>
    <w:p w:rsidR="002E4B22" w:rsidRDefault="002E4B22" w:rsidP="00651D67">
      <w:pPr>
        <w:jc w:val="center"/>
        <w:rPr>
          <w:b/>
          <w:szCs w:val="28"/>
        </w:rPr>
      </w:pPr>
    </w:p>
    <w:p w:rsidR="002E4B22" w:rsidRDefault="002E4B22" w:rsidP="00651D67">
      <w:pPr>
        <w:jc w:val="center"/>
        <w:rPr>
          <w:b/>
          <w:szCs w:val="28"/>
        </w:rPr>
      </w:pPr>
    </w:p>
    <w:p w:rsidR="002E4B22" w:rsidRDefault="002E4B22" w:rsidP="00651D67">
      <w:pPr>
        <w:jc w:val="center"/>
        <w:rPr>
          <w:b/>
          <w:szCs w:val="28"/>
        </w:rPr>
      </w:pPr>
    </w:p>
    <w:p w:rsidR="002E4B22" w:rsidRDefault="002E4B22" w:rsidP="00651D67">
      <w:pPr>
        <w:jc w:val="center"/>
        <w:rPr>
          <w:b/>
          <w:szCs w:val="28"/>
        </w:rPr>
      </w:pPr>
    </w:p>
    <w:p w:rsidR="002E4B22" w:rsidRDefault="002E4B22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</w:p>
    <w:p w:rsidR="00651D67" w:rsidRDefault="00651D67" w:rsidP="00651D67">
      <w:pPr>
        <w:jc w:val="center"/>
        <w:rPr>
          <w:b/>
          <w:szCs w:val="28"/>
        </w:rPr>
      </w:pPr>
      <w:r>
        <w:rPr>
          <w:b/>
          <w:szCs w:val="28"/>
        </w:rPr>
        <w:t>Москва 201</w:t>
      </w:r>
      <w:r w:rsidR="003D2742">
        <w:rPr>
          <w:b/>
          <w:szCs w:val="28"/>
        </w:rPr>
        <w:t>5</w:t>
      </w:r>
    </w:p>
    <w:p w:rsidR="00651D67" w:rsidRDefault="00651D67" w:rsidP="00651D67">
      <w:pPr>
        <w:jc w:val="center"/>
        <w:rPr>
          <w:rFonts w:eastAsia="Times New Roman" w:cs="Times New Roman"/>
          <w:b/>
          <w:szCs w:val="28"/>
        </w:rPr>
      </w:pPr>
      <w:r>
        <w:rPr>
          <w:b/>
          <w:szCs w:val="28"/>
        </w:rPr>
        <w:br w:type="page"/>
      </w:r>
    </w:p>
    <w:p w:rsidR="00651D67" w:rsidRDefault="00651D67" w:rsidP="00651D67">
      <w:pPr>
        <w:pStyle w:val="a5"/>
        <w:rPr>
          <w:rFonts w:ascii="Times New Roman" w:hAnsi="Times New Roman"/>
          <w:sz w:val="28"/>
          <w:szCs w:val="28"/>
        </w:rPr>
      </w:pPr>
    </w:p>
    <w:p w:rsidR="00651D67" w:rsidRDefault="00651D67" w:rsidP="00651D67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651D67" w:rsidTr="00651D67">
        <w:tc>
          <w:tcPr>
            <w:tcW w:w="6062" w:type="dxa"/>
          </w:tcPr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Рассмотрено на заседании ПЦК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«Информационные технологии»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«___»_______201</w:t>
            </w:r>
            <w:r w:rsidR="003D274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 И.Ф. Семенычева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</w:tcPr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УТВЕРЖДАЮ 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___________И.Ю. Егорова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«___»___________201</w:t>
            </w:r>
            <w:r w:rsidR="003D274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  <w:p w:rsidR="00651D67" w:rsidRDefault="00651D67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51D67" w:rsidRDefault="00651D67" w:rsidP="00651D67">
      <w:pPr>
        <w:pStyle w:val="a5"/>
        <w:rPr>
          <w:rFonts w:ascii="Times New Roman" w:hAnsi="Times New Roman"/>
          <w:sz w:val="28"/>
          <w:szCs w:val="28"/>
        </w:rPr>
      </w:pPr>
    </w:p>
    <w:p w:rsidR="00651D67" w:rsidRDefault="00651D67" w:rsidP="00651D67">
      <w:pPr>
        <w:pStyle w:val="a5"/>
        <w:rPr>
          <w:rFonts w:ascii="Times New Roman" w:hAnsi="Times New Roman"/>
          <w:sz w:val="28"/>
          <w:szCs w:val="28"/>
        </w:rPr>
      </w:pPr>
    </w:p>
    <w:p w:rsidR="00651D67" w:rsidRDefault="00651D67" w:rsidP="00651D67">
      <w:pPr>
        <w:spacing w:line="240" w:lineRule="auto"/>
        <w:jc w:val="center"/>
        <w:rPr>
          <w:rFonts w:cs="Times New Roman"/>
          <w:szCs w:val="28"/>
        </w:rPr>
      </w:pPr>
    </w:p>
    <w:p w:rsidR="00651D67" w:rsidRDefault="00651D67" w:rsidP="00651D67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651D67" w:rsidRDefault="00651D67" w:rsidP="00651D67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06568E" w:rsidRDefault="0006568E" w:rsidP="0006568E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ПЕРЕЧЕНЬ ВОПРОСОВ К ЭКЗАМЕНУ </w:t>
      </w:r>
    </w:p>
    <w:p w:rsidR="00F71B9B" w:rsidRDefault="0006568E" w:rsidP="0006568E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 дисциплине</w:t>
      </w:r>
      <w:r w:rsidRPr="0006568E">
        <w:rPr>
          <w:rFonts w:cs="Times New Roman"/>
          <w:b/>
          <w:szCs w:val="28"/>
        </w:rPr>
        <w:t xml:space="preserve"> </w:t>
      </w:r>
      <w:r w:rsidR="002E4B22">
        <w:rPr>
          <w:b/>
          <w:szCs w:val="28"/>
        </w:rPr>
        <w:t>ОП.01. Основы теории информации</w:t>
      </w:r>
    </w:p>
    <w:p w:rsidR="00F71B9B" w:rsidRDefault="00F71B9B" w:rsidP="00F71B9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Специальность 230111 «Компьютерные сети»</w:t>
      </w:r>
    </w:p>
    <w:p w:rsidR="00F71B9B" w:rsidRDefault="00F71B9B" w:rsidP="00F71B9B">
      <w:pPr>
        <w:spacing w:line="240" w:lineRule="auto"/>
        <w:jc w:val="center"/>
        <w:rPr>
          <w:rFonts w:cs="Times New Roman"/>
          <w:szCs w:val="28"/>
        </w:rPr>
      </w:pP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Теория информации. Предмет изучения, методы.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Классификация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Информация, каналы связи, помехи.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Информация и кибернетика.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Измерение количества информации. Формула Шеннона.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Аналоговый сигнал.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Дискретный сигнал.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Цифровой сигнал.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Аналоговый канал связи.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Цифровой канал связи.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Семантические меры измерения информации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 xml:space="preserve">Закон </w:t>
      </w:r>
      <w:proofErr w:type="spellStart"/>
      <w:r w:rsidRPr="001274AB">
        <w:t>аддитивности</w:t>
      </w:r>
      <w:proofErr w:type="spellEnd"/>
      <w:r w:rsidRPr="001274AB">
        <w:t xml:space="preserve"> источников информации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Теорема Котельникова. Квантование амплитуды, погрешность измерений.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Пропускная способность канала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Случайный сигнал.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Пропускная способность ДК без помех.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Пропускная способность ДК с помехами.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Классификация помех.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Принципы кодирования. Кодовое расстояние, вес, разрядность.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Аналоговое кодирование.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Цифровое кодирование.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Таблично-символьное кодирование.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Дельта-кодирование.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Коды: двоично-десятичный, восьмеричный, шестнадцатеричный.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Коды Шеннона-</w:t>
      </w:r>
      <w:proofErr w:type="spellStart"/>
      <w:r w:rsidRPr="001274AB">
        <w:t>Фано</w:t>
      </w:r>
      <w:proofErr w:type="spellEnd"/>
      <w:r w:rsidRPr="001274AB">
        <w:t>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Кодирование по методу Хаффмана.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Помехоустойчивое кодирование.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Код Хэмминга.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Циклические коды.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Классификация методов сжатия.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Методы LZ77.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Методы LZ78.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Характеристика алгоритмов сжатия.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Критерии оценки методов сжатия.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Метод JPEG2000.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Метод сжатия MP3.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Сжатие данных в ОС </w:t>
      </w:r>
      <w:proofErr w:type="spellStart"/>
      <w:r w:rsidRPr="001274AB">
        <w:t>Windows</w:t>
      </w:r>
      <w:proofErr w:type="spellEnd"/>
      <w:r w:rsidRPr="001274AB">
        <w:t>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 xml:space="preserve">Функциональная схема системы передачи </w:t>
      </w:r>
      <w:bookmarkStart w:id="0" w:name="_GoBack"/>
      <w:bookmarkEnd w:id="0"/>
      <w:r w:rsidRPr="001274AB">
        <w:t>информации, назначение ее составляющих.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Основные виды сигналов, используемых при передаче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Кодирование и модуляция в системах передачи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Энтропия. Основные свойства энтропии.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lastRenderedPageBreak/>
        <w:t>Количество информации. Основные свойства количества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Условная энтропия и ее свойства.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Дифференциальная энтропия и ее свойства.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Помехи и искажения в каналах передачи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Модели источников дискретных сообщений.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Энтропия дискретного источника. Полная и частная энтропия.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Избыточность и производительность дискретного источника сообщений.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Модели дискретных каналов передачи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Скорость передачи информации по дискретному каналу. Пропускная способность дискретного канала без помех.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Модели непрерывных каналов передачи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Скорость передачи информации по непрерывному каналу.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Пропускная способность непрерывного канала передачи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Согласование физических характеристик сигнала и канала передачи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Согласование статистических свойств источника сообщений и канала передачи информации.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Эффективное кодирование. Теорема Шеннона о кодировании в канале без помех.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Эффективное кодирование. Методы эффективного кодирования.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Кодирование информации при передаче по дискретному каналу с помехами.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Помехоустойчивое кодирование. Разновидности помехоустойчивых кодов.</w:t>
      </w:r>
    </w:p>
    <w:p w:rsidR="002E4B22" w:rsidRPr="001274AB" w:rsidRDefault="002E4B22" w:rsidP="002E4B22">
      <w:pPr>
        <w:pStyle w:val="a4"/>
        <w:numPr>
          <w:ilvl w:val="0"/>
          <w:numId w:val="5"/>
        </w:numPr>
        <w:spacing w:line="240" w:lineRule="auto"/>
      </w:pPr>
      <w:r w:rsidRPr="001274AB">
        <w:t>Блоковые коды.</w:t>
      </w:r>
    </w:p>
    <w:p w:rsidR="00201668" w:rsidRPr="002B3979" w:rsidRDefault="00201668" w:rsidP="002E4B22">
      <w:pPr>
        <w:pStyle w:val="listparagraph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eastAsiaTheme="minorHAnsi" w:cstheme="minorBidi"/>
          <w:sz w:val="28"/>
          <w:szCs w:val="22"/>
          <w:lang w:eastAsia="en-US"/>
        </w:rPr>
      </w:pPr>
    </w:p>
    <w:p w:rsidR="001A5181" w:rsidRPr="00201668" w:rsidRDefault="001A5181" w:rsidP="002E4B22">
      <w:pPr>
        <w:pStyle w:val="listparagraph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Преподаватель</w:t>
      </w:r>
      <w:r w:rsidRPr="00201668">
        <w:rPr>
          <w:rFonts w:eastAsiaTheme="minorHAnsi" w:cstheme="minorBidi"/>
          <w:sz w:val="28"/>
          <w:szCs w:val="22"/>
          <w:lang w:eastAsia="en-US"/>
        </w:rPr>
        <w:tab/>
      </w:r>
      <w:r w:rsidRPr="00201668">
        <w:rPr>
          <w:rFonts w:eastAsiaTheme="minorHAnsi" w:cstheme="minorBidi"/>
          <w:sz w:val="28"/>
          <w:szCs w:val="22"/>
          <w:lang w:eastAsia="en-US"/>
        </w:rPr>
        <w:tab/>
      </w:r>
      <w:r w:rsidRPr="00201668">
        <w:rPr>
          <w:rFonts w:eastAsiaTheme="minorHAnsi" w:cstheme="minorBidi"/>
          <w:sz w:val="28"/>
          <w:szCs w:val="22"/>
          <w:lang w:eastAsia="en-US"/>
        </w:rPr>
        <w:tab/>
      </w:r>
      <w:r w:rsidRPr="00201668">
        <w:rPr>
          <w:rFonts w:eastAsiaTheme="minorHAnsi" w:cstheme="minorBidi"/>
          <w:sz w:val="28"/>
          <w:szCs w:val="22"/>
          <w:lang w:eastAsia="en-US"/>
        </w:rPr>
        <w:tab/>
      </w:r>
      <w:r w:rsidRPr="00201668">
        <w:rPr>
          <w:rFonts w:eastAsiaTheme="minorHAnsi" w:cstheme="minorBidi"/>
          <w:sz w:val="28"/>
          <w:szCs w:val="22"/>
          <w:lang w:eastAsia="en-US"/>
        </w:rPr>
        <w:tab/>
      </w:r>
      <w:r w:rsidR="003D2742">
        <w:rPr>
          <w:rFonts w:eastAsiaTheme="minorHAnsi" w:cstheme="minorBidi"/>
          <w:sz w:val="28"/>
          <w:szCs w:val="22"/>
          <w:lang w:eastAsia="en-US"/>
        </w:rPr>
        <w:t>И.Ф. Семенычева</w:t>
      </w:r>
    </w:p>
    <w:sectPr w:rsidR="001A5181" w:rsidRPr="00201668" w:rsidSect="00F71B9B">
      <w:pgSz w:w="11906" w:h="16838"/>
      <w:pgMar w:top="851" w:right="851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32CC"/>
    <w:multiLevelType w:val="multilevel"/>
    <w:tmpl w:val="FA1C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E128F"/>
    <w:multiLevelType w:val="hybridMultilevel"/>
    <w:tmpl w:val="BA7A6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F38"/>
    <w:multiLevelType w:val="hybridMultilevel"/>
    <w:tmpl w:val="80CC8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C525DC"/>
    <w:multiLevelType w:val="hybridMultilevel"/>
    <w:tmpl w:val="21B47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3759"/>
    <w:multiLevelType w:val="hybridMultilevel"/>
    <w:tmpl w:val="335A6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6B"/>
    <w:rsid w:val="00002CC1"/>
    <w:rsid w:val="000047DA"/>
    <w:rsid w:val="0006568E"/>
    <w:rsid w:val="00185B5F"/>
    <w:rsid w:val="001A5181"/>
    <w:rsid w:val="00201668"/>
    <w:rsid w:val="00222C38"/>
    <w:rsid w:val="002B282E"/>
    <w:rsid w:val="002B3979"/>
    <w:rsid w:val="002E4B22"/>
    <w:rsid w:val="003D2742"/>
    <w:rsid w:val="004064BC"/>
    <w:rsid w:val="00442136"/>
    <w:rsid w:val="004A442F"/>
    <w:rsid w:val="004D7177"/>
    <w:rsid w:val="005A1813"/>
    <w:rsid w:val="005F76DC"/>
    <w:rsid w:val="00651D67"/>
    <w:rsid w:val="00691448"/>
    <w:rsid w:val="006A6A1A"/>
    <w:rsid w:val="00714829"/>
    <w:rsid w:val="00736E94"/>
    <w:rsid w:val="007C7D7A"/>
    <w:rsid w:val="007D632B"/>
    <w:rsid w:val="00850B6B"/>
    <w:rsid w:val="00A20428"/>
    <w:rsid w:val="00A42F73"/>
    <w:rsid w:val="00A449AE"/>
    <w:rsid w:val="00A47355"/>
    <w:rsid w:val="00AC7351"/>
    <w:rsid w:val="00B725E1"/>
    <w:rsid w:val="00BA5593"/>
    <w:rsid w:val="00BC551A"/>
    <w:rsid w:val="00CA1988"/>
    <w:rsid w:val="00D67ED7"/>
    <w:rsid w:val="00D7051A"/>
    <w:rsid w:val="00D77363"/>
    <w:rsid w:val="00E2621A"/>
    <w:rsid w:val="00E3372A"/>
    <w:rsid w:val="00E6389D"/>
    <w:rsid w:val="00F71B9B"/>
    <w:rsid w:val="00F723C4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C08F7-FEB2-495C-AE17-C1B726E9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442F"/>
    <w:pPr>
      <w:ind w:left="720"/>
      <w:contextualSpacing/>
    </w:pPr>
  </w:style>
  <w:style w:type="paragraph" w:customStyle="1" w:styleId="listparagraph">
    <w:name w:val="listparagraph"/>
    <w:basedOn w:val="a"/>
    <w:rsid w:val="004A442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442F"/>
  </w:style>
  <w:style w:type="paragraph" w:styleId="a5">
    <w:name w:val="No Spacing"/>
    <w:uiPriority w:val="1"/>
    <w:qFormat/>
    <w:rsid w:val="00F71B9B"/>
    <w:pPr>
      <w:spacing w:line="240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table" w:styleId="a6">
    <w:name w:val="Table Grid"/>
    <w:basedOn w:val="a1"/>
    <w:uiPriority w:val="59"/>
    <w:rsid w:val="00F71B9B"/>
    <w:pPr>
      <w:spacing w:line="240" w:lineRule="auto"/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047D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D27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74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75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Семенычева</cp:lastModifiedBy>
  <cp:revision>4</cp:revision>
  <cp:lastPrinted>2015-05-25T08:43:00Z</cp:lastPrinted>
  <dcterms:created xsi:type="dcterms:W3CDTF">2014-05-23T13:22:00Z</dcterms:created>
  <dcterms:modified xsi:type="dcterms:W3CDTF">2015-05-25T08:43:00Z</dcterms:modified>
</cp:coreProperties>
</file>